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4072F6" w:rsidTr="004072F6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72F6" w:rsidRDefault="004072F6" w:rsidP="00CE0735">
            <w:pPr>
              <w:pStyle w:val="a3"/>
              <w:rPr>
                <w:rFonts w:ascii="Century Tat" w:hAnsi="Century Tat"/>
              </w:rPr>
            </w:pPr>
            <w:r>
              <w:t xml:space="preserve">      Баш</w:t>
            </w:r>
            <w:r>
              <w:rPr>
                <w:rFonts w:cs="B8TNR"/>
                <w:lang w:val="be-BY"/>
              </w:rPr>
              <w:t>ҡ</w:t>
            </w:r>
            <w:r>
              <w:t>ортостан  Республика</w:t>
            </w:r>
            <w:r>
              <w:rPr>
                <w:lang w:val="be-BY"/>
              </w:rPr>
              <w:t>һ</w:t>
            </w:r>
            <w:r>
              <w:t>ы</w:t>
            </w:r>
          </w:p>
          <w:p w:rsidR="004072F6" w:rsidRPr="000C7B09" w:rsidRDefault="004072F6" w:rsidP="00CE0735">
            <w:pPr>
              <w:pStyle w:val="a3"/>
              <w:rPr>
                <w:lang w:val="be-BY"/>
              </w:rPr>
            </w:pPr>
            <w:r>
              <w:t xml:space="preserve">        Ми</w:t>
            </w:r>
            <w:r>
              <w:rPr>
                <w:rFonts w:cs="B8TNR"/>
                <w:lang w:val="be-BY"/>
              </w:rPr>
              <w:t>ә</w:t>
            </w:r>
            <w:r>
              <w:t>к</w:t>
            </w:r>
            <w:r>
              <w:rPr>
                <w:rFonts w:cs="B8TNR"/>
                <w:lang w:val="be-BY"/>
              </w:rPr>
              <w:t xml:space="preserve">ә </w:t>
            </w:r>
            <w:r>
              <w:t>муниципаль районың</w:t>
            </w:r>
          </w:p>
          <w:p w:rsidR="004072F6" w:rsidRDefault="004072F6" w:rsidP="00CE0735">
            <w:pPr>
              <w:pStyle w:val="a3"/>
            </w:pPr>
            <w:r>
              <w:t xml:space="preserve">         Илсе</w:t>
            </w:r>
            <w:r>
              <w:rPr>
                <w:rFonts w:cs="B8TNR"/>
                <w:lang w:val="be-BY"/>
              </w:rPr>
              <w:t>ғ</w:t>
            </w:r>
            <w:r>
              <w:t>ол  ауыл Советы</w:t>
            </w:r>
          </w:p>
          <w:p w:rsidR="004072F6" w:rsidRDefault="004072F6" w:rsidP="00CE0735">
            <w:pPr>
              <w:pStyle w:val="a3"/>
            </w:pPr>
            <w:r>
              <w:t xml:space="preserve">         Ауыл бил</w:t>
            </w:r>
            <w:r>
              <w:rPr>
                <w:lang w:val="be-BY"/>
              </w:rPr>
              <w:t>ә</w:t>
            </w:r>
            <w:r>
              <w:t>м</w:t>
            </w:r>
            <w:r>
              <w:rPr>
                <w:rFonts w:cs="B8TNR"/>
                <w:lang w:val="be-BY"/>
              </w:rPr>
              <w:t>әһ</w:t>
            </w:r>
            <w:r>
              <w:rPr>
                <w:rFonts w:cs="B8TNR"/>
              </w:rPr>
              <w:t>е</w:t>
            </w:r>
            <w:r>
              <w:t xml:space="preserve"> Советы</w:t>
            </w:r>
          </w:p>
          <w:p w:rsidR="004072F6" w:rsidRDefault="004072F6" w:rsidP="004072F6">
            <w:pPr>
              <w:pStyle w:val="a3"/>
            </w:pP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       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72F6" w:rsidRDefault="004072F6" w:rsidP="00CE0735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2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072F6" w:rsidRDefault="004072F6" w:rsidP="00CE0735">
            <w:pPr>
              <w:pStyle w:val="a3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Совет  сельского  поселения</w:t>
            </w:r>
          </w:p>
          <w:p w:rsidR="004072F6" w:rsidRDefault="004072F6" w:rsidP="00CE0735">
            <w:pPr>
              <w:pStyle w:val="a3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Ильчигуловский сельсовет</w:t>
            </w:r>
          </w:p>
          <w:p w:rsidR="004072F6" w:rsidRDefault="004072F6" w:rsidP="00CE0735">
            <w:pPr>
              <w:pStyle w:val="a3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</w:rPr>
              <w:t>муниципального района</w:t>
            </w:r>
          </w:p>
          <w:p w:rsidR="004072F6" w:rsidRDefault="004072F6" w:rsidP="00CE0735">
            <w:pPr>
              <w:pStyle w:val="a3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Миякинский район</w:t>
            </w:r>
          </w:p>
          <w:p w:rsidR="004072F6" w:rsidRDefault="004072F6" w:rsidP="00CE0735">
            <w:pPr>
              <w:pStyle w:val="a3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Республики Башкортостан</w:t>
            </w:r>
          </w:p>
          <w:p w:rsidR="004072F6" w:rsidRDefault="004072F6" w:rsidP="004072F6">
            <w:pPr>
              <w:pStyle w:val="a3"/>
              <w:rPr>
                <w:rFonts w:ascii="Century Tat" w:hAnsi="Century Tat"/>
              </w:rPr>
            </w:pPr>
          </w:p>
        </w:tc>
      </w:tr>
    </w:tbl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  <w:r w:rsidRPr="00A86692">
        <w:rPr>
          <w:rFonts w:ascii="Century Tat" w:eastAsia="Calibri" w:hAnsi="Century Tat" w:cs="Times New Roman"/>
          <w:b/>
          <w:sz w:val="24"/>
          <w:szCs w:val="24"/>
        </w:rPr>
        <w:t>KАРАР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 РЕШЕНИЕ</w:t>
      </w: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72F6" w:rsidP="00407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B4C04">
        <w:rPr>
          <w:rFonts w:ascii="Times New Roman" w:hAnsi="Times New Roman" w:cs="Times New Roman"/>
          <w:sz w:val="28"/>
          <w:szCs w:val="28"/>
        </w:rPr>
        <w:t>Ильчигуловский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B4C0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7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B4C04">
        <w:rPr>
          <w:rFonts w:ascii="Times New Roman" w:hAnsi="Times New Roman" w:cs="Times New Roman"/>
          <w:sz w:val="28"/>
          <w:szCs w:val="28"/>
        </w:rPr>
        <w:t>Ильчигуловский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4C0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B4C04">
        <w:rPr>
          <w:rFonts w:ascii="Times New Roman" w:hAnsi="Times New Roman" w:cs="Times New Roman"/>
          <w:sz w:val="28"/>
          <w:szCs w:val="28"/>
        </w:rPr>
        <w:t>Ильчигуловский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4C0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A86692" w:rsidRDefault="00B01D37" w:rsidP="0040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0B4C04">
        <w:rPr>
          <w:rFonts w:ascii="Times New Roman" w:hAnsi="Times New Roman" w:cs="Times New Roman"/>
          <w:sz w:val="28"/>
          <w:szCs w:val="28"/>
        </w:rPr>
        <w:t>на официальном стенде администрации сельского поселения Ильчигуловский сельсовет муниципального района Миякинский район Республики Башкортостан</w:t>
      </w:r>
      <w:r w:rsidR="000B4C04" w:rsidRPr="00BE3185">
        <w:rPr>
          <w:rFonts w:ascii="Calibri" w:eastAsia="Calibri" w:hAnsi="Calibri" w:cs="Times New Roman"/>
          <w:sz w:val="28"/>
          <w:szCs w:val="28"/>
        </w:rPr>
        <w:t xml:space="preserve"> 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4072F6" w:rsidRDefault="004072F6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A86692" w:rsidRPr="004072F6" w:rsidRDefault="000B4C04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Ильчигуловский </w:t>
      </w:r>
      <w:r w:rsidR="00A86692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Миякинский район</w:t>
      </w: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r w:rsidR="000B4C04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Т.Г.Гумеров</w:t>
      </w: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0B4C04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Ильчигулово</w:t>
      </w:r>
    </w:p>
    <w:p w:rsidR="00A86692" w:rsidRPr="004072F6" w:rsidRDefault="004072F6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A86692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bookmarkStart w:id="0" w:name="_GoBack"/>
      <w:bookmarkEnd w:id="0"/>
      <w:r w:rsidR="00A86692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</w:t>
      </w:r>
    </w:p>
    <w:p w:rsidR="00A86692" w:rsidRPr="004072F6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072F6" w:rsidRPr="0040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</w:t>
      </w:r>
    </w:p>
    <w:sectPr w:rsidR="00A86692" w:rsidRPr="004072F6" w:rsidSect="004072F6">
      <w:headerReference w:type="default" r:id="rId15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D9" w:rsidRDefault="00454AD9" w:rsidP="00B8536C">
      <w:pPr>
        <w:spacing w:after="0" w:line="240" w:lineRule="auto"/>
      </w:pPr>
      <w:r>
        <w:separator/>
      </w:r>
    </w:p>
  </w:endnote>
  <w:endnote w:type="continuationSeparator" w:id="1">
    <w:p w:rsidR="00454AD9" w:rsidRDefault="00454AD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D9" w:rsidRDefault="00454AD9" w:rsidP="00B8536C">
      <w:pPr>
        <w:spacing w:after="0" w:line="240" w:lineRule="auto"/>
      </w:pPr>
      <w:r>
        <w:separator/>
      </w:r>
    </w:p>
  </w:footnote>
  <w:footnote w:type="continuationSeparator" w:id="1">
    <w:p w:rsidR="00454AD9" w:rsidRDefault="00454AD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B566D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072F6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4C04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072F6"/>
    <w:rsid w:val="00454AD9"/>
    <w:rsid w:val="00455EBB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471BE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566D2"/>
    <w:rsid w:val="00B713C4"/>
    <w:rsid w:val="00B8536C"/>
    <w:rsid w:val="00BA41A5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0F19-4B89-4D7D-BCB7-25773F8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2018-12-06T11:16:00Z</cp:lastPrinted>
  <dcterms:created xsi:type="dcterms:W3CDTF">2018-08-16T07:00:00Z</dcterms:created>
  <dcterms:modified xsi:type="dcterms:W3CDTF">2018-12-06T11:20:00Z</dcterms:modified>
</cp:coreProperties>
</file>