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12" w:rsidRDefault="00FD2C12" w:rsidP="00277080">
      <w:pPr>
        <w:rPr>
          <w:rFonts w:ascii="Times New Roman" w:hAnsi="Times New Roman" w:cs="Times New Roman"/>
          <w:sz w:val="28"/>
          <w:szCs w:val="28"/>
        </w:rPr>
      </w:pP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 Администрации сельского поселения</w:t>
      </w:r>
      <w:r w:rsidR="009B2129" w:rsidRP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Ильчигуловский сельсовет</w:t>
      </w:r>
    </w:p>
    <w:p w:rsidR="00FD2C12" w:rsidRPr="00BB2A14" w:rsidRDefault="00FD2C12" w:rsidP="00FD2C12">
      <w:pPr>
        <w:tabs>
          <w:tab w:val="left" w:pos="1080"/>
          <w:tab w:val="num" w:pos="1260"/>
        </w:tabs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0C6D0C"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r w:rsid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>.12</w:t>
      </w:r>
      <w:r w:rsidRPr="00BB2A14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 w:rsidR="009B2129">
        <w:rPr>
          <w:rFonts w:ascii="Times New Roman" w:eastAsia="Times New Roman" w:hAnsi="Times New Roman" w:cs="Times New Roman"/>
          <w:sz w:val="28"/>
          <w:szCs w:val="24"/>
          <w:lang w:eastAsia="ru-RU"/>
        </w:rPr>
        <w:t>9  №20</w:t>
      </w:r>
    </w:p>
    <w:p w:rsidR="00FD2C12" w:rsidRPr="00027297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D2C12" w:rsidRPr="00027297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при осуществлении контроля финансового органа Администрации сельского поселения </w:t>
      </w:r>
      <w:r w:rsidR="009B2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Ильчигуловский сельсовет </w:t>
      </w:r>
      <w:r w:rsidRPr="00027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12.12.2015 № 1367</w:t>
      </w:r>
      <w:proofErr w:type="gramEnd"/>
    </w:p>
    <w:p w:rsidR="00FD2C12" w:rsidRPr="00BB2A14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взаимодействия при осуществления администрацией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 (далее-Администрация)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1367 (далее – субъекты контроля, Правила контроля).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применяется при размещении субъектами контроля в единой информационной системе в сфере закупок или направлении на согласование в Администрацию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объекты контроля, Федеральный закон).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Взаимодействие субъектов контроля с Администрацией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Миякинский район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года № 1414 (далее – электронный документ, форматы);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согласовании Администрацией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При размещении электронного документа Администрация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Сведения о закрытых объектах контроля направляются в Администрацию в следующих формах: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контракте (его изменении), включаемые в реестр контрактов, содержащий сведения, составляющие государственную тайну, - по форме, утвержденной законодательством.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на бумажном носителе в трех экземплярах.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и возвращает субъекту контроля один экземпляр закрытого объекта контроля или сведений о закрытом объекте контроля.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осуществлении взаимодействия субъектов контроля с Администрацией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 соблюдением требований законодательства Российской Федерации о защите государственной тайны.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9. При осуществлении взаимодействия с субъектами контроля Администрация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предмет непревышения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установленном Порядке на учет бюджетных обязательств получателей средств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Башкортостан, утвержденный постановлением главы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районаМиякинский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30.11.2016г. № 398 (далее – Порядок учета бюджетных обязательств);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Ильчигуловский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и иных документах, установленных Правительством Республики Башкортостан, Правительством Российской Федерации,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доведенных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лимитов бюджетных обязательств, направляемых в Финансовое управление по форме согласно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 осуществлении взаимодействия с субъектами контроля Администрация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постановке Администрацией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связанных с закупками товаров, работ, услуг, не включенными в план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и бюджетных росписей главных распорядителей средств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(главных администраторов источников финансирования дефицита  бюджета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Башкортостан),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При осуществлении взаимодействия с субъектами контроля Администрация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план-график закупок на непревышение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вплане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информацию, включаемую в реестр контрактов (сведения, включаемые в закрытый реестр контрактов) на соответствие: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идентификационного кода закупки - аналогичной информации,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содержащейся в условиях контракта (сведениях о контракте);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Указанные в пункте 11 настоящего Порядка объекты контроля проверяются Администрацией при размещении в ЕИС, а закрытые объекты контроля (сведения о закрытых объектах контроля) - при согласовании их Администрацией.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Предусмотренное пунктом 11 настоящего Порядка взаимодействие субъектов контроля с Администрацией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плане-графике закупок  соответствующего заказчика;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сведениях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проекте контракта):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цены контракта - цене, указанной в протоколе определения поставщика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объекты контроля по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непревышение включенной в план-график закупок информации о планируемых платежах по  таким закупкам с учетом: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цен по контрактам, заключенным по итогам указанных в настоящем пункте закупок;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 о закрытых объектах контроля, и возвращает их субъекту контроля;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выявления при проведении Администрацией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99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Администрация проставляет на сведениях о приглашении, сведениях о проекте контракта отметкуо несоответствии включенной в них контролируемой информации (далее – отметка о несоответствии);</w:t>
      </w:r>
      <w:proofErr w:type="gramEnd"/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Администрацию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подпунктами «б» и «в» пункта 9 настоящего Порядка;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FD2C12" w:rsidRPr="009B2129" w:rsidRDefault="00FD2C12" w:rsidP="00FD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 </w:t>
      </w:r>
      <w:proofErr w:type="gramStart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ввода в эксплуатацию региональной информационной системы в сфере закупок товаров, работ, услуг для обеспечения нуждсельского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Миякинский район Республики Башкортостан взаимодействие субъектов контроля с Финансовым управлением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</w:t>
      </w:r>
      <w:proofErr w:type="gram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в сфере закупок товаров, работ, услуг для обеспечения нужд сельского поселения </w:t>
      </w:r>
      <w:r w:rsidR="009B2129"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Ильчигуловский </w:t>
      </w:r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Миякинский район Республики Башкортостан на официальном сайте в информационно-телекоммуникационной сети Интернет </w:t>
      </w:r>
      <w:proofErr w:type="spellStart"/>
      <w:r w:rsidRPr="009B2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rics</w:t>
      </w:r>
      <w:proofErr w:type="spell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9B2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bashkortostan</w:t>
      </w:r>
      <w:proofErr w:type="spellEnd"/>
      <w:r w:rsidRPr="009B2129">
        <w:rPr>
          <w:rFonts w:ascii="Times New Roman" w:eastAsia="Times New Roman" w:hAnsi="Times New Roman" w:cs="Times New Roman"/>
          <w:sz w:val="28"/>
          <w:szCs w:val="28"/>
          <w:lang w:eastAsia="ru-RU"/>
        </w:rPr>
        <w:t>.ru.</w:t>
      </w: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</w:p>
    <w:p w:rsidR="00FD2C12" w:rsidRPr="009B2129" w:rsidRDefault="00FD2C12" w:rsidP="00FD2C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BC5" w:rsidRPr="009B2129" w:rsidRDefault="00D41BC5">
      <w:bookmarkStart w:id="0" w:name="_GoBack"/>
      <w:bookmarkEnd w:id="0"/>
    </w:p>
    <w:sectPr w:rsidR="00D41BC5" w:rsidRPr="009B2129" w:rsidSect="0021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8F"/>
    <w:rsid w:val="000C458F"/>
    <w:rsid w:val="000C6D0C"/>
    <w:rsid w:val="001A5F6A"/>
    <w:rsid w:val="00277080"/>
    <w:rsid w:val="00340C4A"/>
    <w:rsid w:val="00597780"/>
    <w:rsid w:val="007108B9"/>
    <w:rsid w:val="009B2129"/>
    <w:rsid w:val="009D3384"/>
    <w:rsid w:val="009F50E5"/>
    <w:rsid w:val="00D41BC5"/>
    <w:rsid w:val="00F4005C"/>
    <w:rsid w:val="00FD2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3094</Words>
  <Characters>17640</Characters>
  <Application>Microsoft Office Word</Application>
  <DocSecurity>0</DocSecurity>
  <Lines>147</Lines>
  <Paragraphs>41</Paragraphs>
  <ScaleCrop>false</ScaleCrop>
  <Company>Microsoft</Company>
  <LinksUpToDate>false</LinksUpToDate>
  <CharactersWithSpaces>20693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Kojay</dc:creator>
  <cp:keywords/>
  <dc:description/>
  <cp:lastModifiedBy>user</cp:lastModifiedBy>
  <cp:revision>11</cp:revision>
  <cp:lastPrinted>2019-12-27T12:11:00Z</cp:lastPrinted>
  <dcterms:created xsi:type="dcterms:W3CDTF">2019-12-18T06:14:00Z</dcterms:created>
  <dcterms:modified xsi:type="dcterms:W3CDTF">2020-03-26T07:16:00Z</dcterms:modified>
</cp:coreProperties>
</file>