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069"/>
        <w:gridCol w:w="1844"/>
        <w:gridCol w:w="3443"/>
      </w:tblGrid>
      <w:tr w:rsidR="00FD2C12" w:rsidRPr="00E01303" w:rsidTr="00FD6367">
        <w:trPr>
          <w:trHeight w:val="1559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2C12" w:rsidRPr="00E01303" w:rsidRDefault="00FD2C12" w:rsidP="00FD636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gramEnd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 Республика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FD2C12" w:rsidRPr="00E01303" w:rsidRDefault="00FD2C12" w:rsidP="009B212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муниципаль</w:t>
            </w:r>
            <w:r w:rsidR="009B21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r w:rsidR="009B2129"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</w:rPr>
              <w:t>Илсе</w:t>
            </w:r>
            <w:r w:rsidR="009B212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ғол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ауыл советы ауыл бил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="009B212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="009B212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һ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 хакими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844" w:type="dxa"/>
            <w:hideMark/>
          </w:tcPr>
          <w:p w:rsidR="00FD2C12" w:rsidRPr="00E01303" w:rsidRDefault="001A5F6A" w:rsidP="00FD6367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 w:rsidRPr="001A5F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91" o:spid="_x0000_s1026" style="position:absolute;margin-left:-170.05pt;margin-top:.85pt;width:419.05pt;height:81.3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88Ori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DmfPDq4gMA&#10;ACI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<v:line id="Line 6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0ZcQAAADbAAAADwAAAGRycy9kb3ducmV2LnhtbESPQWvCQBSE74L/YXlCb82mHmybuoYQ&#10;EMRerPbS22P3mcRm38bsGmN/fbdQ8DjMzDfMMh9tKwbqfeNYwVOSgiDWzjRcKfg8rB9fQPiAbLB1&#10;TApu5CFfTSdLzIy78gcN+1CJCGGfoYI6hC6T0uuaLPrEdcTRO7reYoiyr6Tp8RrhtpXzNF1Iiw3H&#10;hRo7KmvS3/uLVbDdjUVZoW55J39KfTs9fw3nd6UeZmPxBiLQGO7h//bGKHidw9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LRlxAAAANsAAAAPAAAAAAAAAAAA&#10;AAAAAKECAABkcnMvZG93bnJldi54bWxQSwUGAAAAAAQABAD5AAAAkgMAAAAA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3i5XEAAAA2wAAAA8AAABkcnMvZG93bnJldi54bWxEj09rAjEUxO9Cv0N4BW+arRbZbo1SBEE8&#10;+aeX3l43z93QzcuaRF399I0geBxm5jfMdN7ZRpzJB+NYwdswA0FcOm24UvC9Xw5yECEia2wck4Ir&#10;BZjPXnpTLLS78JbOu1iJBOFQoII6xraQMpQ1WQxD1xIn7+C8xZikr6T2eElw28hRlk2kRcNpocaW&#10;FjWVf7uTVXBc7scbuz79vv8Yf8uPRnZVc1Cq/9p9fYKI1MVn+NFeaQUfY7h/ST9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3i5XEAAAA2wAAAA8AAAAAAAAAAAAAAAAA&#10;nwIAAGRycy9kb3ducmV2LnhtbFBLBQYAAAAABAAEAPcAAACQAwAAAAA=&#10;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3443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2C12" w:rsidRPr="00E01303" w:rsidRDefault="00FD2C12" w:rsidP="00FD636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9B212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Ильчигуловский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FD2C12" w:rsidRPr="00E01303" w:rsidRDefault="00FD2C12" w:rsidP="00FD636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FD2C12" w:rsidRPr="00E01303" w:rsidTr="00FD6367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D2C12" w:rsidRPr="00E01303" w:rsidRDefault="00FD2C12" w:rsidP="00FD6367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2C12" w:rsidRPr="00E01303" w:rsidRDefault="00FD2C12" w:rsidP="00FD636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D2C12" w:rsidRPr="00E01303" w:rsidRDefault="00FD2C12" w:rsidP="00FD6367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FD2C12" w:rsidRPr="00E01303" w:rsidRDefault="00FD2C12" w:rsidP="00FD2C12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2C12" w:rsidRPr="003D7939" w:rsidRDefault="009B2129" w:rsidP="00FD2C12">
      <w:pPr>
        <w:tabs>
          <w:tab w:val="left" w:pos="676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D2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БОЙОРОК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FD2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D2C12" w:rsidRPr="003D79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p w:rsidR="00FD2C12" w:rsidRDefault="00FD2C12" w:rsidP="00FD2C12">
      <w:pPr>
        <w:tabs>
          <w:tab w:val="left" w:pos="41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03 декабрь 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>й.</w:t>
      </w:r>
      <w:r w:rsidR="009B2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D7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="009B21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  <w:r w:rsidRPr="004022B0">
        <w:rPr>
          <w:rFonts w:ascii="Times New Roman" w:eastAsia="Times New Roman" w:hAnsi="Times New Roman" w:cs="Times New Roman"/>
          <w:sz w:val="28"/>
          <w:szCs w:val="24"/>
          <w:lang w:eastAsia="ru-RU"/>
        </w:rPr>
        <w:t>03 декабря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4A0"/>
      </w:tblPr>
      <w:tblGrid>
        <w:gridCol w:w="9322"/>
      </w:tblGrid>
      <w:tr w:rsidR="00FD2C12" w:rsidRPr="00BB2A14" w:rsidTr="00FD6367">
        <w:tc>
          <w:tcPr>
            <w:tcW w:w="9322" w:type="dxa"/>
          </w:tcPr>
          <w:p w:rsidR="00FD2C12" w:rsidRPr="00BB2A14" w:rsidRDefault="00FD2C12" w:rsidP="009B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B2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порядке взаимодействия при осуществлении контроля финансового органа Администрации сельского поселения</w:t>
            </w:r>
            <w:r w:rsidR="009B2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Ильчигуловский сельсовет</w:t>
            </w:r>
            <w:r w:rsidRPr="00BB2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 1367</w:t>
            </w:r>
            <w:proofErr w:type="gramEnd"/>
          </w:p>
        </w:tc>
      </w:tr>
    </w:tbl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1367,приказом Министерства финансов Российской Федерации от 22 июля 2016 года № 120н  «Об утверждении общих требований к порядку взаимодействия при осуществлении контроля финансовых</w:t>
      </w:r>
      <w:proofErr w:type="gramEnd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нужд"»,</w:t>
      </w:r>
    </w:p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взаимодействия при осуществлении контроля финансового органа Администрации сельского поселения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 сельсовет</w:t>
      </w: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Порядок).</w:t>
      </w:r>
      <w:proofErr w:type="gramEnd"/>
    </w:p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</w:t>
      </w: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правоотношения, связанные с размещением планов закупок на 2020 год и плановый период 2021 и 2022 годов и планов-графиков закупок на 2020 год.</w:t>
      </w:r>
    </w:p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оставить за собой.</w:t>
      </w:r>
    </w:p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C12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C12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1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2129">
        <w:rPr>
          <w:rFonts w:ascii="Times New Roman" w:eastAsia="Times New Roman" w:hAnsi="Times New Roman" w:cs="Times New Roman"/>
          <w:sz w:val="28"/>
          <w:szCs w:val="28"/>
        </w:rPr>
        <w:t xml:space="preserve">       Г.И.Садыкова</w:t>
      </w:r>
    </w:p>
    <w:p w:rsidR="00FD2C12" w:rsidRPr="00BB2A14" w:rsidRDefault="00FD2C12" w:rsidP="00FD2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12" w:rsidRPr="00BB2A14" w:rsidRDefault="00FD2C12" w:rsidP="00FD2C1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Pr="00BB2A14" w:rsidRDefault="00FD2C12" w:rsidP="00FD2C12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FD2C12" w:rsidRPr="00BB2A14" w:rsidRDefault="00FD2C12" w:rsidP="00FD2C12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  Администрации сельского поселения</w:t>
      </w:r>
      <w:r w:rsidR="009B2129" w:rsidRPr="009B2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2129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Ильчигуловский сельсовет</w:t>
      </w:r>
    </w:p>
    <w:p w:rsidR="00FD2C12" w:rsidRPr="00BB2A14" w:rsidRDefault="00FD2C12" w:rsidP="00FD2C12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9B2129">
        <w:rPr>
          <w:rFonts w:ascii="Times New Roman" w:eastAsia="Times New Roman" w:hAnsi="Times New Roman" w:cs="Times New Roman"/>
          <w:sz w:val="28"/>
          <w:szCs w:val="24"/>
          <w:lang w:eastAsia="ru-RU"/>
        </w:rPr>
        <w:t>03.12</w:t>
      </w: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9B2129">
        <w:rPr>
          <w:rFonts w:ascii="Times New Roman" w:eastAsia="Times New Roman" w:hAnsi="Times New Roman" w:cs="Times New Roman"/>
          <w:sz w:val="28"/>
          <w:szCs w:val="24"/>
          <w:lang w:eastAsia="ru-RU"/>
        </w:rPr>
        <w:t>9  №20</w:t>
      </w:r>
    </w:p>
    <w:p w:rsidR="00FD2C12" w:rsidRPr="00027297" w:rsidRDefault="00FD2C12" w:rsidP="00FD2C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D2C12" w:rsidRPr="00027297" w:rsidRDefault="00FD2C12" w:rsidP="00FD2C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2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при осуществлении контроля финансового органа Администрации сельского поселения </w:t>
      </w:r>
      <w:r w:rsidR="009B2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Ильчигуловский сельсовет </w:t>
      </w:r>
      <w:r w:rsidRPr="0002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</w:t>
      </w:r>
      <w:proofErr w:type="gramEnd"/>
    </w:p>
    <w:p w:rsidR="00FD2C12" w:rsidRPr="00BB2A14" w:rsidRDefault="00FD2C12" w:rsidP="00FD2C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взаимодействия при осуществления администрацией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 (далее-Администрация)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1367 (далее – субъекты контроля, Правила контроля).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объекты контроля, Федеральный закон). 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Миякинский район Республики Башкортостан (далее – Региональная информационная система) объектов контроля в форме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документа в соответствии с едиными форматами, установленными Министерством финансов Российской Федерации в соответствии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 Администрацией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Сведения о закрытых объектах контроля направляются в Администрацию в следующих формах: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проставляет на закрытом объекте контроля, сведениях о закрытом объекте контроля регистрационный номер, дату и время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получателей средств бюджета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Миякинский район Республики Башкортостан, утвержденный постановлением главы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районаМиякинский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30.11.2016г. № 398 (далее – Порядок учета бюджетных обязательств);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обязательств, направляемых в Финансовое управление по форме согласно приложению № 5 к настоящему Порядку, в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включения в план закупок информации о закупках, оплата которых планируется по истечении планового периода;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При осуществлении взаимодействия с субъектами контроля 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Миякинский район Республики Башкортостан и бюджетных росписей главных распорядителей средств бюджета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Миякинский район Республики Башкортостан (главных администраторов источников финансирования дефицита  бюджета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При осуществлении взаимодействия с субъектами контроля Администрация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план-график закупок на непревышение содержащихся в нем по соответствующим идентификационным кодам закупки сумм начальных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(сведений) о цене контракта – цене, указанной в условиях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контракта в контракте (в сведениях о проекте контракта).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закупок  соответствующего заказчика;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контракта):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заказчика;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объекты контроля по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непревышение включенной в план-график закупок информации о планируемых платежах по  таким закупкам с учетом: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отметкуо несоответствии включенной в них контролируемой информации (далее – отметка о несоответствии);</w:t>
      </w:r>
      <w:proofErr w:type="gramEnd"/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Администрацию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подпунктами «б» и «в» пункта 9 настоящего Порядка;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FD2C12" w:rsidRPr="009B2129" w:rsidRDefault="00FD2C12" w:rsidP="00FD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ввода в эксплуатацию региональной информационной системы в сфере закупок товаров, работ, услуг для обеспечения нуждсельского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 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в сфере закупок товаров, работ, услуг для обеспечения нужд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Миякинский район Республики Башкортостан на официальном сайте в информационно-телекоммуникационной сети Интернет </w:t>
      </w:r>
      <w:proofErr w:type="spellStart"/>
      <w:r w:rsidRPr="009B21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rics</w:t>
      </w:r>
      <w:proofErr w:type="spell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B21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bashkortostan</w:t>
      </w:r>
      <w:proofErr w:type="spell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.ru.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BC5" w:rsidRPr="009B2129" w:rsidRDefault="00D41BC5">
      <w:bookmarkStart w:id="0" w:name="_GoBack"/>
      <w:bookmarkEnd w:id="0"/>
    </w:p>
    <w:sectPr w:rsidR="00D41BC5" w:rsidRPr="009B2129" w:rsidSect="0021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8F"/>
    <w:rsid w:val="000C458F"/>
    <w:rsid w:val="001A5F6A"/>
    <w:rsid w:val="00340C4A"/>
    <w:rsid w:val="00597780"/>
    <w:rsid w:val="009B2129"/>
    <w:rsid w:val="00D41BC5"/>
    <w:rsid w:val="00FD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3566</Words>
  <Characters>20328</Characters>
  <Application>Microsoft Office Word</Application>
  <DocSecurity>0</DocSecurity>
  <Lines>169</Lines>
  <Paragraphs>47</Paragraphs>
  <ScaleCrop>false</ScaleCrop>
  <Company>Microsoft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user</cp:lastModifiedBy>
  <cp:revision>6</cp:revision>
  <dcterms:created xsi:type="dcterms:W3CDTF">2019-12-18T06:14:00Z</dcterms:created>
  <dcterms:modified xsi:type="dcterms:W3CDTF">2019-12-18T07:59:00Z</dcterms:modified>
</cp:coreProperties>
</file>